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3393E" w14:textId="77777777" w:rsidR="000D4AB9" w:rsidRPr="00F76EF7" w:rsidRDefault="000D4AB9" w:rsidP="00140C1E">
      <w:pPr>
        <w:rPr>
          <w:rFonts w:asciiTheme="majorHAnsi" w:hAnsiTheme="majorHAnsi"/>
          <w:sz w:val="24"/>
          <w:szCs w:val="24"/>
        </w:rPr>
      </w:pPr>
      <w:bookmarkStart w:id="0" w:name="_GoBack"/>
    </w:p>
    <w:p w14:paraId="5717F589" w14:textId="77777777" w:rsidR="001F67E6" w:rsidRPr="00F76EF7" w:rsidRDefault="001F67E6" w:rsidP="00140C1E">
      <w:pPr>
        <w:rPr>
          <w:rFonts w:asciiTheme="majorHAnsi" w:hAnsiTheme="majorHAnsi"/>
          <w:sz w:val="24"/>
          <w:szCs w:val="24"/>
        </w:rPr>
      </w:pPr>
    </w:p>
    <w:tbl>
      <w:tblPr>
        <w:tblW w:w="5000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9"/>
        <w:gridCol w:w="300"/>
        <w:gridCol w:w="300"/>
        <w:gridCol w:w="315"/>
      </w:tblGrid>
      <w:tr w:rsidR="001F67E6" w:rsidRPr="00F76EF7" w14:paraId="3919984B" w14:textId="77777777" w:rsidTr="001F67E6">
        <w:trPr>
          <w:tblCellSpacing w:w="15" w:type="dxa"/>
        </w:trPr>
        <w:tc>
          <w:tcPr>
            <w:tcW w:w="5000" w:type="pct"/>
            <w:tcMar>
              <w:top w:w="3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3365E8" w14:textId="77777777" w:rsidR="001F67E6" w:rsidRPr="00F76EF7" w:rsidRDefault="001F67E6" w:rsidP="00140C1E">
            <w:pPr>
              <w:spacing w:after="0" w:line="270" w:lineRule="atLeast"/>
              <w:rPr>
                <w:rFonts w:asciiTheme="majorHAnsi" w:eastAsia="Times New Roman" w:hAnsiTheme="majorHAnsi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F76EF7">
              <w:rPr>
                <w:rFonts w:asciiTheme="majorHAnsi" w:eastAsia="Times New Roman" w:hAnsiTheme="majorHAnsi"/>
                <w:b/>
                <w:bCs/>
                <w:color w:val="FF0000"/>
                <w:sz w:val="24"/>
                <w:szCs w:val="24"/>
                <w:lang w:eastAsia="pt-BR"/>
              </w:rPr>
              <w:t xml:space="preserve">CEBRI: o braço do conselho das Relações Exteriores (CFR) no Brasil </w:t>
            </w:r>
          </w:p>
        </w:tc>
        <w:tc>
          <w:tcPr>
            <w:tcW w:w="0" w:type="auto"/>
            <w:vAlign w:val="center"/>
            <w:hideMark/>
          </w:tcPr>
          <w:p w14:paraId="47D946A7" w14:textId="77777777" w:rsidR="001F67E6" w:rsidRPr="00F76EF7" w:rsidRDefault="00F76EF7" w:rsidP="00140C1E">
            <w:pPr>
              <w:spacing w:after="0" w:line="27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4F6E2C8B" wp14:editId="50AFB80C">
                  <wp:extent cx="152400" cy="152400"/>
                  <wp:effectExtent l="0" t="0" r="0" b="0"/>
                  <wp:docPr id="1" name="Imagem 1" descr="PDF">
                    <a:hlinkClick xmlns:a="http://schemas.openxmlformats.org/drawingml/2006/main" r:id="rId6" tooltip="PD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578588B" w14:textId="77777777" w:rsidR="001F67E6" w:rsidRPr="00F76EF7" w:rsidRDefault="00F76EF7" w:rsidP="00140C1E">
            <w:pPr>
              <w:spacing w:after="0" w:line="27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00347F40" wp14:editId="79027A63">
                  <wp:extent cx="152400" cy="152400"/>
                  <wp:effectExtent l="0" t="0" r="0" b="0"/>
                  <wp:docPr id="2" name="Imagem 2" descr="Imprimir">
                    <a:hlinkClick xmlns:a="http://schemas.openxmlformats.org/drawingml/2006/main" r:id="rId8" tooltip="Imprimir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Impri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4E9D192" w14:textId="77777777" w:rsidR="001F67E6" w:rsidRPr="00F76EF7" w:rsidRDefault="00F76EF7" w:rsidP="00140C1E">
            <w:pPr>
              <w:spacing w:after="0" w:line="27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6F1E1463" wp14:editId="7000FBE5">
                  <wp:extent cx="152400" cy="152400"/>
                  <wp:effectExtent l="0" t="0" r="0" b="0"/>
                  <wp:docPr id="3" name="Imagem 3" descr="E-mail">
                    <a:hlinkClick xmlns:a="http://schemas.openxmlformats.org/drawingml/2006/main" r:id="rId10" tooltip="E-mail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E-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F44F50" w14:textId="77777777" w:rsidR="001F67E6" w:rsidRPr="00F76EF7" w:rsidRDefault="001F67E6" w:rsidP="00140C1E">
      <w:pPr>
        <w:spacing w:line="270" w:lineRule="atLeast"/>
        <w:rPr>
          <w:rFonts w:asciiTheme="majorHAnsi" w:eastAsia="Times New Roman" w:hAnsiTheme="majorHAnsi" w:cs="Arial"/>
          <w:vanish/>
          <w:color w:val="333333"/>
          <w:sz w:val="24"/>
          <w:szCs w:val="24"/>
          <w:lang w:eastAsia="pt-BR"/>
        </w:rPr>
      </w:pPr>
    </w:p>
    <w:tbl>
      <w:tblPr>
        <w:tblW w:w="5000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3"/>
      </w:tblGrid>
      <w:tr w:rsidR="001F67E6" w:rsidRPr="00F76EF7" w14:paraId="3B4720D2" w14:textId="77777777" w:rsidTr="001F67E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14:paraId="28937047" w14:textId="77777777" w:rsidR="001F67E6" w:rsidRPr="00F76EF7" w:rsidRDefault="001F67E6" w:rsidP="00140C1E">
            <w:pPr>
              <w:spacing w:after="0" w:line="120" w:lineRule="atLeast"/>
              <w:rPr>
                <w:rFonts w:asciiTheme="majorHAnsi" w:eastAsia="Times New Roman" w:hAnsiTheme="majorHAnsi"/>
                <w:color w:val="4A87C4"/>
                <w:sz w:val="24"/>
                <w:szCs w:val="24"/>
                <w:lang w:eastAsia="pt-BR"/>
              </w:rPr>
            </w:pPr>
            <w:r w:rsidRPr="00F76EF7">
              <w:rPr>
                <w:rFonts w:asciiTheme="majorHAnsi" w:eastAsia="Times New Roman" w:hAnsiTheme="majorHAnsi"/>
                <w:color w:val="4A87C4"/>
                <w:sz w:val="24"/>
                <w:szCs w:val="24"/>
                <w:lang w:eastAsia="pt-BR"/>
              </w:rPr>
              <w:t xml:space="preserve">04 de fevereiro de 2007 </w:t>
            </w:r>
          </w:p>
        </w:tc>
      </w:tr>
      <w:tr w:rsidR="001F67E6" w:rsidRPr="00F76EF7" w14:paraId="709CE1EE" w14:textId="77777777" w:rsidTr="001F67E6">
        <w:trPr>
          <w:tblCellSpacing w:w="15" w:type="dxa"/>
        </w:trPr>
        <w:tc>
          <w:tcPr>
            <w:tcW w:w="0" w:type="auto"/>
            <w:hideMark/>
          </w:tcPr>
          <w:p w14:paraId="32C2E7A4" w14:textId="77777777" w:rsidR="001F67E6" w:rsidRPr="00F76EF7" w:rsidRDefault="001F67E6" w:rsidP="00140C1E">
            <w:pPr>
              <w:spacing w:after="0" w:line="27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</w:pP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Uma das organizações mais influentes na politica dos Estados Unidos é o Conselho de Relações Exteriores (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Council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on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Foreign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Relations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- CFR). Segundo o pastor protestante Pat Robertson, </w:t>
            </w:r>
            <w:r w:rsidRPr="00F76EF7">
              <w:rPr>
                <w:rFonts w:asciiTheme="majorHAnsi" w:eastAsia="Times New Roman" w:hAnsiTheme="majorHAnsi"/>
                <w:i/>
                <w:iCs/>
                <w:color w:val="333333"/>
                <w:sz w:val="24"/>
                <w:szCs w:val="24"/>
                <w:lang w:eastAsia="pt-BR"/>
              </w:rPr>
              <w:t>"o CFR é o verdadeiro governo dos Estados Unidos"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.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Todos os diretores da CIA foram membros do CFR, com exceção de James R.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Schlesinger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, que ocupou brevemente o cargo em 1973. Desde 1953, os Estados Unidos foram governados por 7 membros do CFR: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Eisenhower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(1953-61), John Kennedy (1961-63), Richard Nixon (1969-74), Gerald Ford (1974-77), James Carter (1977-81), George Bush (pai, 1989-93) e Bill Clinton (1993-2001). Ronald Reagan (1981-89) não era do CFR, mas seu Vice-Presidente, George Bush (pai) era. Depois de eleito Presidente, Reagan colocou em cargos do governo 313 membros do CFR. O atual Presidente dos Estados Unidos, George Bush (filho) também não é membro do CFR, mas seus principais assessores no governo (Condoleezza Rice, Dick Cheney, Paul Wolfowitz, Colin Powell, Richard Perle, Lewis Libby e Robert Zoellick) são todos membros do CFR. Tirante Reagan e Bush filho, o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unico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Presidente norte-americano, desde 1953, que não pertenceu ao CFR foi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Lyndon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Johnson: mas tal como Reagan e Bush filho, Johnson compensou essa "falta" entregando a maior parte dos cargos mais importantes do governo aos membros do CFR.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O CFR também controla os dois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unicos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partidos norte-americanos que participam das eleições presidenciais: os republicanos (a direita) e os democratas (a esquerda). Em 1952 e 1956, por exemplo, o republicano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Eisenhower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(do CFR) venceu o democrata Stevenson (do CFR). Em 1960, o democrata Kennedy (do CFR) derrotou o republicano Nixon (do CFR). Por sua vez, o republicano Nixon (do CFR) venceu o democrata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Humphrey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(do CFR) em 1968, e o democrata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McGovern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(do CFR) em 1972. Em 1976, o democrata Carter (do CFR) venceu o republicano Ford (do CFR). Em 1988, o republicano George Bush (pai) derrotou o democrata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Dukakis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(do CFR). E finalmente o democrata Clinton (do CFR) venceu os republicanos Bush pai (do CFR) em 1992, e Bob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Dole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(do CFR) em 1996. Não importa quem vença as eleições : o CFR sempre ganha.</w:t>
            </w:r>
          </w:p>
          <w:p w14:paraId="7A3D3FC3" w14:textId="77777777" w:rsidR="001F67E6" w:rsidRPr="00F76EF7" w:rsidRDefault="001F67E6" w:rsidP="00140C1E">
            <w:pPr>
              <w:spacing w:after="0" w:line="27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</w:pPr>
          </w:p>
          <w:p w14:paraId="1AC41D18" w14:textId="77777777" w:rsidR="001F67E6" w:rsidRPr="00F76EF7" w:rsidRDefault="001F67E6" w:rsidP="00140C1E">
            <w:pPr>
              <w:spacing w:after="240" w:line="27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</w:pP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O mesmo ocorre com os mais altos cargos da administração federal norte-americana: desde 1947, praticamente todos os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Secretarios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da Defesa (equivalente ao nosso Ministro da Defesa), de Estado (equivalente ao nosso Ministro das Relações Exteriores) e do Tesouro (equivalente ao nosso Ministro da Fazenda) foram integrantes do CFR. As exceções foram raras e breves. A maioria dos Deputados e Senadores norte-americanos também faz parte do CFR, bem como os principais executivos do New York Times, do Washington Post, do Los Angeles Times, do The Wall Street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Journal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, da NBC, da ABC, da CBS, da Fox, da Time, da Fortune, da Business Week, do US News &amp; World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Report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e de muitos outros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orgãos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de imprensa.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lastRenderedPageBreak/>
              <w:br/>
              <w:t xml:space="preserve">O CFR foi fundado em 1921, mas resultou de uma serie de reuniões que aconteceram logo após o final da I Guerra Mundial (1914-18). Em 30 de maio de 1919, durante a Conferencia de Paz de Versalhes, o Coronel Edward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Mandell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House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, assessor de confiança do Presidente norte-americano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Woodrow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Wilson, reuniu as delegações norte-americana e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britanica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no Hotel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Majestic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, em Paris. Nesta reunião, ambas as delegações concordaram em criar um "Instituto de Assuntos Internacionais", com uma filial nos Estados Unidos e outra na Grã-Bretanha, com o objetivo de guiar a opinião publica para aceitar o governo mundial e o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globalismo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. A filial norte-americana foi fundada em 21 de julho de 1921, com o nome de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Council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on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Foreign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Relations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(CFR, Conselho de Relações Exteriores). A filial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britanica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, que a antecedeu, materializara-se com o nome de Royal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Institute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of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International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Affairs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(RIIA, Instituto Real para Assuntos Internacionais).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O Coronel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House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era a eminencia parda por trás do governo Wilson. Autodescrevia-se como um marxista, mas repudiava a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estrategia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da revolução violenta. Da delegação norte-americana em Versalhes e da fundação do CFR participaram também os banqueiros Bernard Baruch e Paul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Warburg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, que ajudou a financiar a Revolução socialista na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Russia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, e o Secretario de Estado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Elihu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Root.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Desde 1945, o quartel-general do CFR é a elegante Harold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Pratt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House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, uma mansão de quatro andares na esquina da Park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Avenue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com a 68th Street, em Nova Iorque. A filiação ao CFR, feita apenas por convite, originalmente limitado a 1.600 participantes, hoje chega a mais de 3.300, representando as mais influentes personalidades no campo das finanças, dos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negocios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, da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midia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e do meio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universitario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. Como vimos anteriormente, o CFR funciona quase como uma agencia de empregos para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politicos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: é muito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dificil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fazer carreira politica nos Estados Unidos, tanto no partido democrata como no republicano, sem entrar para o CFR.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A admissão é um processo rigorosamente seletivo: o candidato deve ser apresentado por um membro, secundado por outro membro, aprovado pelo comitê de filiação, examinado pela assessoria profissional e finalmente aprovado pela diretoria. No inicio da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decada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de 1970, o CFR ampliou seu quadro de filiação para incluir negros e mulheres, entre eles o General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Collin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Powell e Condoleezza Rice.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Os recursos financeiros para o CFR vêm de empresas multinacionais, como a Xerox, General Motors, Texaco e outras, e grandes fundações privadas, como as Fundações Ford, Rockefeller e Carnegie (curiosamente, as mesmas que financiam o movimento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abortista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em diversos países do mundo). Os curadores dessas fundações também são, em sua maioria, integrantes do CFR. No inicio da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decada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de 1960, um pesquisador, Dan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Smoot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, descobriu que doze dos vinte curadores da Fundação Rockefeller, dez dos quinze curadores da Fundação Ford, e dez dos catorze curadores da Fundação Carnegie eram membros do CFR.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Conforme declarou o Almirante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Chester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Ward, juiz aposentado da Marinha dos Estados Unidos e membro de longa data do CFR: "O CFR, como tal, não escreve as plataformas dos dois partidos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politicos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nem escolhe seus respectivos candidatos à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Presidencia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nem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lastRenderedPageBreak/>
              <w:t xml:space="preserve">controla a defesa dos Estados Unidos e as politicas externas. Mas os membros do CFR, como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individuos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, agindo em conjunto com outros membros do Conselho, fazem-no" (GOLDWATER, Barry.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With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No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Apologies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. New York, William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Morrow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and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Company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, 1979).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Por que estou dizendo tudo isso? Porque o CFR mantém laços estreitos com organizações semelhantes e associadas, nos principais países, entre as quais o Royal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Institute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of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International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Affairs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, na Grã-Bretanha, e o neonato Centro Brasileiro de Relações Internacionais (CEBRI). O CEBRI, o correspondente tupiniquim do CFR, foi fundado em 1998, e surgiu rica e abundantemente apadrinhado de recursos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publicos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, repassados pelo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Ministerio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das Relações Exteriores e por uma plêiade de poderosas estatais, além do generoso mecenato de prestigiadas empresas privadas, ou recém-privatizadas (como a Cia. Vale do Rio Doce e a CSN), além de financiamentos externos do BID (Banco Interamericano de Desenvolvimento) e do PNUD (Programa das Nações Unidas para o Desenvolvimento).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Curiosamente, o CEBRI tem como presidente de honra o Sr. Fernando Henrique Cardoso (do PSDB), e como conselheiro o Sr. Marco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Aurelio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Garcia (vice-presidente e secretario de relações internacionais do PT, assessor chefe da assessoria especial do Presidente Lula e coordenador da campanha do mesmo à reeleição). Dá pra entender que o ex-Presidente tucano e o chefe da assessoria do atual Presidente petista são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socios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do mesmo clube?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Além dos cargos mencionados acima, o Sr. Marco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Aurelio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Garcia (companheiro de Fernando Henrique no CEBRI) é o Secretario Executivo do Foro de São Paulo, uma liga de partidos e organizações de esquerda da America Latina, integrada inclusive por movimentos terroristas e ligados ao crime organizado (como as FARC). Mais que isso: Marco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Aurelio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Garcia (companheiro de Fernando Henrique no CEBRI) foi o fundador do Foro de São Paulo. Em 1990, a pedido de Fidel Castro, Garcia convocou na cidade de São Paulo uma reunião de todos os grupos de esquerda da America Latina e do Caribe. Na ocasião, representantes de 48 diferentes partidos de esquerda (entre os quais o PT) e grupos terroristas atenderam. Essa reunião resultou na formação do Foro de São Paulo, liderado até hoje por Garcia.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Marco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Aurelio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Garcia é um personagem altamente gabaritado: graduado em Direito e Filosofia pela Universidade Federal do Rio Grande do Sul (UFRGS), pós-graduado na Escola de Altos Estudos e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Ciencias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Sociais de Paris (França), professor licenciado do Departamento de Historia da UNICAMP. Enquanto o chefe da assessoria do Presidente da Republica exibe esse curriculum vitae, o supremo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mandatario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da Nação não tem o 2o grau completo e reconhece não saber de nada que se passa em seu governo. Dá para adivinhar quem dá as cartas nesse jogo...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Não é, pois, de admirar-se que tenha havido, conforme noticiou a imprensa em 2006, um acordo entre PSDB e PT para reeleger Lula (ver: http://clipping.planejamento.gov.br/Noticias.asp?NOTCod=309571 e também: http://www.fazenda.gov.br/resenhaeletronica/MostraMateria.asp?page=&amp;cod=325772 ). Tucanos e petistas são farinha do mesmo saco, vinho da mesma pipa. Geraldo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lastRenderedPageBreak/>
              <w:t xml:space="preserve">Alckmin não era um tucano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tipico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: não é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abortista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, nem tinha feito parte do CEBRAP (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think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tank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montado pela Fundação Ford para disseminar o marxismo nas universidades brasileiras). Por isso foi escalado como boi de piranha em 2006 e abandonado pelo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proprio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partido.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Aecio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Neves foi reeleito Governador com 73% dos votos válidos -- mas em MG o candidato de seu partido perdeu feio para Lula. Que esforço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Aecio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fez para eleger Alckmin? Quando o Alckmin foi ao debate na Record, o Governador eleito José Serra, por sua vez, preferiu ir ao cinema...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Será que PSDB e PT pretendem repartir a politica brasileira e revezar-se perpetuamente no poder? Não percam as cenas dos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proximos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capitulos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...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A seguir informações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extraidas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do sitio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eletronico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do CEBRI (Centro Brasileiro de Relações Internacionais), versão tupiniquim do CFR: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>Conheça o CEBRI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>Fonte: http://www.cebri.org.br/02_quemsomos.cfm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"O Centro Brasileiro de Relações Internacionais - CEBRI - sediado no Rio de Janeiro, é uma instituição independente, multidisciplinar e apartidária, formada com o objetivo de promover estudos e debates sobre temas prioritários da política externa brasileira e das relações internacionais em geral. Criado em 1998 por um grupo de intelectuais, empresários, autoridades governamentais e acadêmicos, o CEBRI tornou-se rapidamente uma referência nacional na promoção de encontros de alto nível, conferências e seminários internacionais.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O Centro foi concebido com a finalidade de ser o mais importante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think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tank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de políticas públicas na área externa do País. A Missão do Centro é criar um espaço para estudos e debates, onde a sociedade brasileira, em particular organizações da sociedade civil atuantes na área internacional, possam discutir temas relativos às relações internacionais e à política externa, com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conseqüente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influência no processo decisório governamental e na atuação brasileira em negociações internacionais.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O CEBRI produz igualmente informação e conhecimento específico na área externa e propostas para a elaboração de políticas públicas. Linhas permanentes de pesquisa resultam em estudos, boletins, relatórios, newsletters e outros produtos específicos para instituições e empresas patrocinadoras."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>Comitê Acadêmico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>Fonte: http://www.cebri.org.br/05_comiteacademico.cfm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O Comitê Acadêmico tem por objetivo prover o CEBRI com o melhor do pensamento brasileiro na área de ciências sociais aplicadas. A pesquisa produzida no Centro tem, entretanto, um status singular, uma vez que será orientada, na grande maioria das vezes, para agendas e prioridades de cunho prático e de curto prazo. À reflexão especificamente acadêmica, o CEBRI pretende agregar um trabalho de pesquisa em rede e de natureza aplicada, destinado à proposição de iniciativas e políticas públicas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lastRenderedPageBreak/>
              <w:t xml:space="preserve">na área externa.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O Comitê Acadêmico do CEBRI é formado por professores, pesquisadores e intelectuais de renome nacional e de competência notoriamente reconhecida pelos seus pares, que tenham desenvolvido suas linhas de pesquisa em áreas de interesse para as relações internacionais e para a política externa do Brasil.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Convênios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>Fonte: http://www.cebri.org.br/04_convenios.cfm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>Convênios de apoio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>Programa das Nações Unidas para o Desenvolvimento (PNUD)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www.br.undp.org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Convênio CEBRI-PNUD para o desenvolvimento conjunto de projetos de mútuo interesse, consubstanciados na forma de estudos, pesquisas e eventos de natureza política, acadêmica e científica, direcionados para a inserção internacional do Brasil em bases mais competitivas e segundo os interesses externos do Estado e da sociedade.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Banco Interamericano de Desenvolvimento (BID) </w:t>
            </w:r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www.iadb.org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Convênio CEBRI-BID para a realização de estudos e pesquisas sobre temas econômicos, políticos e sociais de relevância para a política externa brasileira, em particular, e as relações internacionais, no geral. Deste convênio deriva o estudo "Estrutura do Emprego no Brasil", disponível na seção Estudos e Pesquisas.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>Ministério das Relações Exteriores (MRE)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www.mre.gov.br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Convênio CEBRI-MRE para o desenvolvimento conjunto de projetos de mútuo interesse, consubstanciados na forma de estudos, pesquisas e eventos de natureza política, acadêmica e científica, direcionados para a inserção internacional do Brasil em bases mais competitivas e segundo os interesses externos do Estado e da sociedade.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Banco Nacional de Desenvolvimento Econômico e Social (BNDES) </w:t>
            </w:r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www.bndes.gov.br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Convênio CEBRI-BNDES para a realização do Projeto "A agenda brasileira de negociações comerciais: Benefícios líquidos de diferentes cenários de acessão à ALCA", disponível na seção Projetos.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Fundação Konrad </w:t>
            </w:r>
            <w:proofErr w:type="spellStart"/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>Adenauer</w:t>
            </w:r>
            <w:proofErr w:type="spellEnd"/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 (KAS) </w:t>
            </w:r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www.adenauer.com.br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Convênio CEBRI-KAS para a realização de seminários e estudos sobre temas relevantes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lastRenderedPageBreak/>
              <w:t xml:space="preserve">da política externa brasileira. Deste convênio deriva o Projeto "O Acordo Mercosul-União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Européia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: temas não convencionais", disponível na seção Projetos.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proofErr w:type="spellStart"/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>Japan</w:t>
            </w:r>
            <w:proofErr w:type="spellEnd"/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>External</w:t>
            </w:r>
            <w:proofErr w:type="spellEnd"/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 Trade </w:t>
            </w:r>
            <w:proofErr w:type="spellStart"/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>Organization</w:t>
            </w:r>
            <w:proofErr w:type="spellEnd"/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 (JETRO) </w:t>
            </w:r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www.jetro.go.jp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Convênio CEBRI-JETRO para a realização de reuniões com vistas a informar, analisar e discutir assuntos em destaque na agenda da política externa brasileira.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>Convênios de Cooperação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Centro </w:t>
            </w:r>
            <w:proofErr w:type="spellStart"/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>Paraguayo</w:t>
            </w:r>
            <w:proofErr w:type="spellEnd"/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>Estudios</w:t>
            </w:r>
            <w:proofErr w:type="spellEnd"/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>Internacionales</w:t>
            </w:r>
            <w:proofErr w:type="spellEnd"/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 (CEPEI)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www.cepeiparaguay.org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Convênio de cooperação CEBRI-CEPEI com vistas à promoção de eventos, estudos, e publicações conjuntas sobre temas de relevância na relação bilateral Brasil-Paraguai. Deste convênio deriva o Projeto "O Papel do Brasil na Inserção Internacional do Paraguai: Questões Econômicas, Políticas e Sociais", disponível na seção Projetos.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Instituto </w:t>
            </w:r>
            <w:proofErr w:type="spellStart"/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>Italo</w:t>
            </w:r>
            <w:proofErr w:type="spellEnd"/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-Latino Americano (IILA) </w:t>
            </w:r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www.iila.org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Convênio de cooperação CEBRI-IILA, com vistas a intensificar o intercâmbio entre o Brasil e o mundo ítalo-latino-americano na área internacional, através da mobilização conjunta de recursos intelectuais e culturais na Europa e nos países latino-americanos, especialmente na Itália e no Brasil.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Royal </w:t>
            </w:r>
            <w:proofErr w:type="spellStart"/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>Institute</w:t>
            </w:r>
            <w:proofErr w:type="spellEnd"/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>of</w:t>
            </w:r>
            <w:proofErr w:type="spellEnd"/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>International</w:t>
            </w:r>
            <w:proofErr w:type="spellEnd"/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>Affairs</w:t>
            </w:r>
            <w:proofErr w:type="spellEnd"/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 (RIIA) - </w:t>
            </w:r>
            <w:proofErr w:type="spellStart"/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>Chatham</w:t>
            </w:r>
            <w:proofErr w:type="spellEnd"/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>House</w:t>
            </w:r>
            <w:proofErr w:type="spellEnd"/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www.riia.org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Convênio de cooperação CEBRI-RIIA em áreas e temas de interesse comum, em especial as relações entre o Mercosul e a União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Européia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de forma a contribuir para o progresso da pesquisa e do conhecimento na área de relações internacionais, através da promoção do intercâmbio de informações e experiências acadêmicas em bases regulares, atuação em conjunto com outras congêneres para desenvolver uma rede de informações entre o Mercosul e a União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Européia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, avaliação das possibilidades de realizar pesquisas e eventos conjuntos, além da promoção intercâmbio de pesquisadores.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Sócios </w:t>
            </w:r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Mantenedores: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Aduaneiras, Andrade Gutiérrez, Aracruz, BM&amp;F, Bradesco, Camargo Corrêa, CBMM, Cia. Bozzano, CP Cimento, CVRD,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Dannemann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Eletrobras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, Eletros, Embraer,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Fenaseg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, Fosfertil, HSBC, Ipiranga, Klabin S.A.,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McKinsey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, MFRA, Odebrecht, Petrobras, PWC, SBCE, Souza Cruz, Unibanco, Unibanco AIG,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Unica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Veirano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.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lastRenderedPageBreak/>
              <w:t>Fundadores: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Aracruz, Banco do Nordeste, BNDES, BOVESPA/CBLC, Bradesco, British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Gas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, British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Petroleum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, Caixa Econômica Federal, Cia. Bozzano, Coca-Cola, CSN,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Eletrobras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, Embraer, FIESP, Guardian do Brasil, Icatu Holding SA, Klabin SA, Light SA,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Lorentzen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Patri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Associados, Petrobras, Portugal Telecom, Siemens, Souza Cruz, Unibanco, Unilever, White Martins.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Conselhos do CEBRI </w:t>
            </w:r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Fonte: http://www.cebri.org.br/03_conselho.cfm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Presidente de Honra </w:t>
            </w:r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Fernando Henrique Cardoso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>Vice-Presidentes Natos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Daniel Miguel Klabin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Luiz Felipe Lampreia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Presidente </w:t>
            </w:r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José Botafogo Gonçalves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>Vice-Presidentes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José Pio Borges de Castro Filho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Tomas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Zinner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Diretor Executivo </w:t>
            </w:r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Mário Antônio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Marconini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Conselheiros </w:t>
            </w:r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Carlos Mariani Bittencourt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Célio Borja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Celso Lafer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João Clemente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Baena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Soares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Kati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de Almeida Braga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Luciano Martins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Marco Aurélio Garcia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Marcus Vinícius Pratini de Moraes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Pedro Malan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Roberto Teixeira da Costa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Sebastião do Rego Barros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>Membros Vogais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Eliezer Batista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Flávio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Perri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Gelson Fonseca Junior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Luiz Olavo Baptista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Winston Fritsch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lastRenderedPageBreak/>
              <w:t>Conselho Consultivo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>Associados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Alberto Venâncio Filho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Antônio Carlos Pereira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Armínio Fraga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Carlos Eduardo Lins da Silva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Carlos Leoni de Siqueira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Daniel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Haar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Helio Jaguaribe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José Luiz Lopes da Silveira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Luiz Fernando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Panelli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Márcio Moreira Alves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Márcio Fortes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Marcos Bezerra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Abbott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Galvão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Marcos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Castrioto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de Azambuja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Mário César Flores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b/>
                <w:bCs/>
                <w:color w:val="333333"/>
                <w:sz w:val="24"/>
                <w:szCs w:val="24"/>
                <w:lang w:eastAsia="pt-BR"/>
              </w:rPr>
              <w:t>Representantes dos sócios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Adilson Antônio Primo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Benjamin Steinbruch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Brian Smith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Carlos Lessa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Constantino Mendonça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Cristiano Buarque Neto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Domingos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Bulus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Eduardo Carlos Ricardo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Eduardo Corrêa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Eduardo Perestrelo Correia de Matos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Erling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Lorentzen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Jean Pierre Bel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Jorge Mattoso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José Eduardo Dutra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Lázaro de Mello Brandão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Luiz Carlos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Costamilan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Maurício Botelho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Milton Torres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Patrick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Larragoiti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Lucas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Pedro Moreira Salles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Raymundo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Magliano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Filho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Roger Agnelli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Spencer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Howe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Vinicius Prianti"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Na página do Conselho Curador, ao se passar o mouse sobre o nome de cada associado,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lastRenderedPageBreak/>
              <w:t xml:space="preserve">surge o título do notável, por exemplo: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Tomas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Zinner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- economista, ex-presidente do Unibanco, membro dos conselhos do Unibanco e Unibanco holding, AIG, Unibanco Seguros e Fininvest.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Marco Aurélio Garcia - Advogado, Secretário de Relações Internacionais do PT, Assessor Chefe da Assessoria Especial da Presidência da República.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Luciano Martins - Sociólogo, ex-embaixador do Brasil em Cuba, membro do conselho editorial da Revista Política Exterior.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  <w:t xml:space="preserve">Flávio </w:t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Perri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- Diplomata, ex-secretário do meio ambiente do estado do Rio de Janeiro, representante do Brasil junto a FAO. </w:t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br/>
            </w:r>
            <w:proofErr w:type="spellStart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>Kati</w:t>
            </w:r>
            <w:proofErr w:type="spellEnd"/>
            <w:r w:rsidRPr="00F76EF7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pt-BR"/>
              </w:rPr>
              <w:t xml:space="preserve"> de Almeida Braga - Empresária, presidente do grupo Icatu - Holding</w:t>
            </w:r>
          </w:p>
        </w:tc>
      </w:tr>
    </w:tbl>
    <w:p w14:paraId="4D945ADA" w14:textId="77777777" w:rsidR="001F67E6" w:rsidRPr="00F76EF7" w:rsidRDefault="001F67E6" w:rsidP="00140C1E">
      <w:pPr>
        <w:rPr>
          <w:rFonts w:asciiTheme="majorHAnsi" w:hAnsiTheme="majorHAnsi"/>
          <w:sz w:val="24"/>
          <w:szCs w:val="24"/>
        </w:rPr>
      </w:pPr>
    </w:p>
    <w:bookmarkEnd w:id="0"/>
    <w:sectPr w:rsidR="001F67E6" w:rsidRPr="00F76EF7" w:rsidSect="000D4A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2658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E6"/>
    <w:rsid w:val="000D4AB9"/>
    <w:rsid w:val="00140C1E"/>
    <w:rsid w:val="001F67E6"/>
    <w:rsid w:val="00F7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FC9B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A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F67E6"/>
    <w:rPr>
      <w:i/>
      <w:iCs/>
    </w:rPr>
  </w:style>
  <w:style w:type="character" w:styleId="Strong">
    <w:name w:val="Strong"/>
    <w:basedOn w:val="DefaultParagraphFont"/>
    <w:uiPriority w:val="22"/>
    <w:qFormat/>
    <w:rsid w:val="001F67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A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F67E6"/>
    <w:rPr>
      <w:i/>
      <w:iCs/>
    </w:rPr>
  </w:style>
  <w:style w:type="character" w:styleId="Strong">
    <w:name w:val="Strong"/>
    <w:basedOn w:val="DefaultParagraphFont"/>
    <w:uiPriority w:val="22"/>
    <w:qFormat/>
    <w:rsid w:val="001F67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109">
          <w:marLeft w:val="0"/>
          <w:marRight w:val="0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1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43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javascript:void%20window.open('http://brasilacimadetudo.lpchat.com/index2.php?option=com_content&amp;do_pdf=1&amp;id=1402',%20'win2',%20'status=no,toolbar=no,scrollbars=yes,titlebar=no,menubar=no,resizable=yes,width=640,height=480,directories=no,location=no');" TargetMode="External"/><Relationship Id="rId7" Type="http://schemas.openxmlformats.org/officeDocument/2006/relationships/image" Target="media/image1.png"/><Relationship Id="rId8" Type="http://schemas.openxmlformats.org/officeDocument/2006/relationships/hyperlink" Target="javascript:void%20window.open('http://brasilacimadetudo.lpchat.com/index2.php?option=com_content&amp;task=view&amp;id=1402&amp;Itemid=234&amp;pop=1&amp;page=0',%20'win2',%20'status=no,toolbar=no,scrollbars=yes,titlebar=no,menubar=no,resizable=yes,width=640,height=480,directories=no,location=no');" TargetMode="External"/><Relationship Id="rId9" Type="http://schemas.openxmlformats.org/officeDocument/2006/relationships/image" Target="media/image2.png"/><Relationship Id="rId10" Type="http://schemas.openxmlformats.org/officeDocument/2006/relationships/hyperlink" Target="javascript:void%20window.open('http://brasilacimadetudo.lpchat.com/index2.php?option=com_content&amp;task=emailform&amp;id=1402',%20'win2',%20'status=no,toolbar=no,scrollbars=yes,titlebar=no,menubar=no,resizable=yes,width=400,height=250,directories=no,location=no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2806</Words>
  <Characters>16000</Characters>
  <Application>Microsoft Macintosh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18769</CharactersWithSpaces>
  <SharedDoc>false</SharedDoc>
  <HLinks>
    <vt:vector size="18" baseType="variant">
      <vt:variant>
        <vt:i4>7209043</vt:i4>
      </vt:variant>
      <vt:variant>
        <vt:i4>6</vt:i4>
      </vt:variant>
      <vt:variant>
        <vt:i4>0</vt:i4>
      </vt:variant>
      <vt:variant>
        <vt:i4>5</vt:i4>
      </vt:variant>
      <vt:variant>
        <vt:lpwstr>javascript:void window.open('http://brasilacimadetudo.lpchat.com/index2.php?option=com_content&amp;task=emailform&amp;id=1402',%20'win2',%20'status=no,toolbar=no,scrollbars=yes,titlebar=no,menubar=no,resizable=yes,width=400,height=250,directories=no,location=no');</vt:lpwstr>
      </vt:variant>
      <vt:variant>
        <vt:lpwstr/>
      </vt:variant>
      <vt:variant>
        <vt:i4>4128858</vt:i4>
      </vt:variant>
      <vt:variant>
        <vt:i4>3</vt:i4>
      </vt:variant>
      <vt:variant>
        <vt:i4>0</vt:i4>
      </vt:variant>
      <vt:variant>
        <vt:i4>5</vt:i4>
      </vt:variant>
      <vt:variant>
        <vt:lpwstr>javascript:void window.open('http://brasilacimadetudo.lpchat.com/index2.php?option=com_content&amp;task=view&amp;id=1402&amp;Itemid=234&amp;pop=1&amp;page=0',%20'win2',%20'status=no,toolbar=no,scrollbars=yes,titlebar=no,menubar=no,resizable=yes,width=640,height=480,directories=no,location=no');</vt:lpwstr>
      </vt:variant>
      <vt:variant>
        <vt:lpwstr/>
      </vt:variant>
      <vt:variant>
        <vt:i4>2031709</vt:i4>
      </vt:variant>
      <vt:variant>
        <vt:i4>0</vt:i4>
      </vt:variant>
      <vt:variant>
        <vt:i4>0</vt:i4>
      </vt:variant>
      <vt:variant>
        <vt:i4>5</vt:i4>
      </vt:variant>
      <vt:variant>
        <vt:lpwstr>javascript:void window.open('http://brasilacimadetudo.lpchat.com/index2.php?option=com_content&amp;do_pdf=1&amp;id=1402',%20'win2',%20'status=no,toolbar=no,scrollbars=yes,titlebar=no,menubar=no,resizable=yes,width=640,height=480,directories=no,location=no');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marlanfe tavares oliveira</dc:creator>
  <cp:keywords/>
  <cp:lastModifiedBy>Patricia Armond de Almeida</cp:lastModifiedBy>
  <cp:revision>3</cp:revision>
  <dcterms:created xsi:type="dcterms:W3CDTF">2015-02-28T12:43:00Z</dcterms:created>
  <dcterms:modified xsi:type="dcterms:W3CDTF">2015-02-28T12:45:00Z</dcterms:modified>
</cp:coreProperties>
</file>